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C13871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fldChar w:fldCharType="begin"/>
      </w:r>
      <w:r>
        <w:instrText xml:space="preserve"> INCLUDEPICTURE  "C:\\Documenti\\Immagini\\Stemma.jpg" \* MERGEFORMATINET </w:instrText>
      </w:r>
      <w:r>
        <w:fldChar w:fldCharType="separate"/>
      </w:r>
      <w:r w:rsidR="00B90C33">
        <w:fldChar w:fldCharType="begin"/>
      </w:r>
      <w:r w:rsidR="00B90C33">
        <w:instrText xml:space="preserve"> INCLUDEPICTURE  "C:\\Documenti\\Immagini\\Stemma.jpg" \* MERGEFORMATINET </w:instrText>
      </w:r>
      <w:r w:rsidR="00B90C33">
        <w:fldChar w:fldCharType="separate"/>
      </w:r>
      <w:r w:rsidR="00205C96">
        <w:fldChar w:fldCharType="begin"/>
      </w:r>
      <w:r w:rsidR="00205C96">
        <w:instrText xml:space="preserve"> </w:instrText>
      </w:r>
      <w:r w:rsidR="00205C96">
        <w:instrText>INCLUDEPICTURE  "C:\\Documenti\\Immagini\\Stemma.jpg" \* MERGEFORMATINET</w:instrText>
      </w:r>
      <w:r w:rsidR="00205C96">
        <w:instrText xml:space="preserve"> </w:instrText>
      </w:r>
      <w:r w:rsidR="00205C96">
        <w:fldChar w:fldCharType="separate"/>
      </w:r>
      <w:r w:rsidR="00205C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36.5pt">
            <v:imagedata r:id="rId6" r:href="rId7"/>
          </v:shape>
        </w:pict>
      </w:r>
      <w:r w:rsidR="00205C96">
        <w:fldChar w:fldCharType="end"/>
      </w:r>
      <w:r w:rsidR="00B90C33">
        <w:fldChar w:fldCharType="end"/>
      </w:r>
      <w:r>
        <w:fldChar w:fldCharType="end"/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</w:p>
    <w:p w:rsidR="00365A5F" w:rsidRDefault="00365A5F" w:rsidP="0062385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COMUNE DI ZOAGLI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REGOLAMENTO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PER LA DEFINIZIONE AGEVOLATA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DELLE ENTRATE COMUNALI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NON RISCOSSE A SEGUITO DELLA NOTIFICA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DI INGIUNZIONE DI PAGAMENTO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65A5F" w:rsidRDefault="00205C96" w:rsidP="00365A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Approvato con Delibera C.</w:t>
      </w:r>
      <w:r w:rsidR="00365A5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C. num.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6</w:t>
      </w:r>
      <w:r w:rsidR="00365A5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del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31</w:t>
      </w:r>
      <w:r w:rsidR="00365A5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/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03</w:t>
      </w:r>
      <w:bookmarkStart w:id="0" w:name="_GoBack"/>
      <w:bookmarkEnd w:id="0"/>
      <w:r w:rsidR="00365A5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/2017</w:t>
      </w:r>
    </w:p>
    <w:p w:rsidR="0062385E" w:rsidRDefault="0062385E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62385E" w:rsidRDefault="0062385E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62385E" w:rsidRDefault="0062385E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62385E" w:rsidRDefault="0062385E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62385E" w:rsidRDefault="0062385E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8F331B" w:rsidRDefault="008F331B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lastRenderedPageBreak/>
        <w:t xml:space="preserve">Art. 1 - </w:t>
      </w:r>
      <w:r w:rsidR="00801F09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Oggetto del Regolamento</w:t>
      </w:r>
    </w:p>
    <w:p w:rsidR="008F331B" w:rsidRDefault="008F331B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2 -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Oggetto della definizione agevolata </w:t>
      </w:r>
    </w:p>
    <w:p w:rsidR="00801F09" w:rsidRDefault="00801F09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3 -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Istanza di adesione alla definizione agevolata </w:t>
      </w:r>
    </w:p>
    <w:p w:rsidR="00801F09" w:rsidRDefault="00801F09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801F09" w:rsidRDefault="00365A5F" w:rsidP="00801F09">
      <w:pPr>
        <w:autoSpaceDE w:val="0"/>
        <w:autoSpaceDN w:val="0"/>
        <w:adjustRightInd w:val="0"/>
        <w:spacing w:after="0" w:line="240" w:lineRule="auto"/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4 -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Comunicazione dell’esito dell’istanza di adesione alla </w:t>
      </w:r>
      <w:r w:rsidR="00801F09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        </w:t>
      </w:r>
    </w:p>
    <w:p w:rsidR="00365A5F" w:rsidRDefault="00801F09" w:rsidP="00801F0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           </w:t>
      </w:r>
      <w:proofErr w:type="gramStart"/>
      <w:r w:rsidR="00365A5F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definizione</w:t>
      </w:r>
      <w:proofErr w:type="gramEnd"/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.</w:t>
      </w:r>
    </w:p>
    <w:p w:rsidR="00801F09" w:rsidRDefault="00801F09" w:rsidP="00801F0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5 -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Definizione agevolata degli i</w:t>
      </w:r>
      <w:r w:rsidR="008D2422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mporti oggetto di rateizzaz</w:t>
      </w:r>
      <w:r w:rsidR="00801F09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ione</w:t>
      </w:r>
    </w:p>
    <w:p w:rsidR="008D2422" w:rsidRDefault="008D2422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6-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Mancato, in</w:t>
      </w:r>
      <w:r w:rsidR="00801F09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sufficiente o tardivo pagamento</w:t>
      </w:r>
    </w:p>
    <w:p w:rsidR="008D2422" w:rsidRDefault="008D2422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801F09" w:rsidRDefault="00365A5F" w:rsidP="00801F09">
      <w:pPr>
        <w:autoSpaceDE w:val="0"/>
        <w:autoSpaceDN w:val="0"/>
        <w:adjustRightInd w:val="0"/>
        <w:spacing w:after="0" w:line="240" w:lineRule="auto"/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7-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Definizione agevolata degli importi inclusi in </w:t>
      </w:r>
      <w:r w:rsidR="00801F09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accordi o piani del </w:t>
      </w:r>
    </w:p>
    <w:p w:rsidR="00365A5F" w:rsidRDefault="00801F09" w:rsidP="00801F09">
      <w:pPr>
        <w:autoSpaceDE w:val="0"/>
        <w:autoSpaceDN w:val="0"/>
        <w:adjustRightInd w:val="0"/>
        <w:spacing w:after="0" w:line="240" w:lineRule="auto"/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</w:pP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           </w:t>
      </w:r>
      <w:r w:rsidR="008D2422"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C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>onsumatore</w:t>
      </w:r>
    </w:p>
    <w:p w:rsidR="008D2422" w:rsidRDefault="008D2422" w:rsidP="00801F09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Art. 8 - </w:t>
      </w:r>
      <w:r>
        <w:rPr>
          <w:rFonts w:ascii="Calibri,BoldItalic-OneByteIdent" w:hAnsi="Calibri,BoldItalic-OneByteIdent" w:cs="Calibri,BoldItalic-OneByteIdent"/>
          <w:b/>
          <w:bCs/>
          <w:i/>
          <w:iCs/>
          <w:color w:val="000000"/>
          <w:sz w:val="26"/>
          <w:szCs w:val="26"/>
        </w:rPr>
        <w:t xml:space="preserve">Procedure cautelative ed esecutive in corso 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1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Oggetto del Regolamento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Il presente regolamento, adottato nell'ambito della potes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tà prevista dall’articolo 52 del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decreto legislativo 15 dicembre 1997, n. 446 ed in attuazione dell’articolo 6-</w:t>
      </w:r>
      <w:r>
        <w:rPr>
          <w:rFonts w:ascii="Calibri,Italic-OneByteIdentityH" w:hAnsi="Calibri,Italic-OneByteIdentityH" w:cs="Calibri,Italic-OneByteIdentityH"/>
          <w:i/>
          <w:iCs/>
          <w:color w:val="000000"/>
          <w:sz w:val="26"/>
          <w:szCs w:val="26"/>
        </w:rPr>
        <w:t xml:space="preserve">ter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 decreto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legge 22 ottobre 2016, n. 193, disciplina la definizione agevolata delle entrate comunali non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riscosse a seguito di provvedimenti di ingiunzione di pagamento di cui al regio decreto 14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aprile 1910, n. 639.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2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Oggetto della definizione agevolata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1. Relativamente alle entrate comunali di cui all’articolo 1 non riscosse a seguito della notifica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delle ingiunzioni di pagamento di cui al regio decreto 14 aprile 1910, n. 639, negli anni dal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2000 al 2016, i debitori possono estinguere il debito, senza corrispondere le sanzioni,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versando: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a) le somme ingiunte a titolo di capitale ed interessi;</w:t>
      </w:r>
    </w:p>
    <w:p w:rsidR="00830156" w:rsidRDefault="00365A5F" w:rsidP="0083015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b) le spese relative alla riscossione coattiva, riferibili agli importi di cui alla precedente</w:t>
      </w:r>
    </w:p>
    <w:p w:rsidR="00365A5F" w:rsidRDefault="00365A5F" w:rsidP="0083015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  </w:t>
      </w:r>
      <w:proofErr w:type="gramStart"/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lettera</w:t>
      </w:r>
      <w:proofErr w:type="gramEnd"/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a);</w:t>
      </w:r>
    </w:p>
    <w:p w:rsidR="00830156" w:rsidRDefault="00365A5F" w:rsidP="0083015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c) le spese relative alla notifica dell’ingiunzione, dell'accertamento e dell'avviso di </w:t>
      </w:r>
    </w:p>
    <w:p w:rsidR="00365A5F" w:rsidRDefault="00830156" w:rsidP="0083015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   </w:t>
      </w:r>
      <w:proofErr w:type="gramStart"/>
      <w:r w:rsidR="00365A5F">
        <w:rPr>
          <w:rFonts w:ascii="Calibri-OneByteIdentityH" w:hAnsi="Calibri-OneByteIdentityH" w:cs="Calibri-OneByteIdentityH"/>
          <w:color w:val="000000"/>
          <w:sz w:val="26"/>
          <w:szCs w:val="26"/>
        </w:rPr>
        <w:t>scadenza</w:t>
      </w:r>
      <w:proofErr w:type="gramEnd"/>
      <w:r w:rsidR="00365A5F">
        <w:rPr>
          <w:rFonts w:ascii="Calibri-OneByteIdentityH" w:hAnsi="Calibri-OneByteIdentityH" w:cs="Calibri-OneByteIdentityH"/>
          <w:color w:val="000000"/>
          <w:sz w:val="26"/>
          <w:szCs w:val="26"/>
        </w:rPr>
        <w:t>;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d) le spese relative alle eventuali procedure cautelari o esecutive sostenute.</w:t>
      </w:r>
    </w:p>
    <w:p w:rsidR="00830156" w:rsidRDefault="00830156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2. Per le sanzioni amministrative per violazioni del codice della strada, di cui al decreto</w:t>
      </w:r>
      <w:r w:rsidR="00C13871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legislativo 30 aprile 1992, n. 285, le disposizioni del presente articolo si applicano</w:t>
      </w:r>
      <w:r w:rsidR="00C13871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limitatamente agli interessi, inclusi quelli di mora e quelli di cui all’articolo 27, sesto comma,</w:t>
      </w:r>
      <w:r w:rsidR="00C13871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della legge 24 novembre 1981, n. 689.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3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Istanza di adesione alla definizione agevolata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1.Ai fini della definizione di cui all’articolo 2, il debitore presenta al Comune apposita istanza entro il 30 aprile 2017.</w:t>
      </w:r>
    </w:p>
    <w:p w:rsidR="00365A5F" w:rsidRDefault="00365A5F" w:rsidP="00365A5F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2. L’istanza deve contenere la manifestazione della volontà di avvalersi della definizione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agevolata e tutti i dati identificativi del soggetto (cognome, nome o ragione sociale, data e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luogo di nascita o di costituzione, residenza, sede legale e domicilio fiscale), i dati identificativi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 provvedimento o dei provvedimenti di ingiunzione oggetto dell’istanza, l’eventuale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richiesta di rateizzazione dell’importo dovuto di cui all’articolo 4.</w:t>
      </w:r>
    </w:p>
    <w:p w:rsidR="00365A5F" w:rsidRDefault="00365A5F" w:rsidP="00830156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Nel rispetto di quanto previsto all'art.4, nell’istanza il debitore indica altresì il numero di rate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nel quale intende effettuare il pagamento, nonché l’eventuale pendenza di giudizi aventi ad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oggetto i debiti cui si riferisce l’istanza, assumendo l’impegno a rinunciare agli stessi, a non</w:t>
      </w:r>
      <w:r w:rsidR="00830156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attivarne di nuovi o ad accettare la rinuncia con assunzione delle spese di lite.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3. Il Comune mette a disposizione sul proprio sito istituzionale apposita modulistica nel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termine di 15 giorni dall’approvazione del presente regolamento.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4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Comunicazione dell’esito dell’istanza di adesione alla definizione agevolata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1. Il Comune comunica il rigetto dell'istanza entro 60 giorni dal ricevimento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della stessa, motivando l'eventuale provvedimento di rigetto dell'istanza di adesione. Qualora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l'istanza venga accolta, il Comune, comunica entro il 30 giugno 2017 ai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debitori l'ammontare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lastRenderedPageBreak/>
        <w:t>complessivo delle somme dovute ai fini della definizione, le modalità di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pagamento, nonché l'importo delle singole rate, il giorno e il mese di scadenza di ciascuna di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esse</w:t>
      </w:r>
      <w:r w:rsidR="00D34C21">
        <w:rPr>
          <w:rFonts w:ascii="Calibri-OneByteIdentityH" w:hAnsi="Calibri-OneByteIdentityH" w:cs="Calibri-OneByteIdentityH"/>
          <w:color w:val="000000"/>
          <w:sz w:val="24"/>
          <w:szCs w:val="24"/>
        </w:rPr>
        <w:t>, attenendosi ai seguenti criteri:</w:t>
      </w:r>
    </w:p>
    <w:p w:rsidR="00D34C21" w:rsidRDefault="00D34C21" w:rsidP="006514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Versamento unico: entro il 31/07/2017;</w:t>
      </w:r>
    </w:p>
    <w:p w:rsidR="00D34C21" w:rsidRDefault="00D34C21" w:rsidP="006514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Versamento in due rate di pari importo: entro il 31/07/2017 e il 30/04/2018;</w:t>
      </w:r>
    </w:p>
    <w:p w:rsidR="00D34C21" w:rsidRDefault="00D34C21" w:rsidP="006514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Versame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>nto in tre rate di pari importo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: entro il 31/07/2017 e il 30/11/2017 ed il 30/04/2018;</w:t>
      </w:r>
    </w:p>
    <w:p w:rsidR="00D34C21" w:rsidRDefault="00D34C21" w:rsidP="006514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Versamento 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>in quattro rate di pari importo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: entro il 31/07/2017 e il 30/11/2017 ed il 30/04/2018 e il 30/09/2018.</w:t>
      </w:r>
    </w:p>
    <w:p w:rsidR="00D34C21" w:rsidRPr="00D34C21" w:rsidRDefault="00D34C21" w:rsidP="006514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Nel caso di versamento dilazionato in rate, si appli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cano gli interessi previsti nel </w:t>
      </w:r>
      <w:r w:rsidR="00D34C21">
        <w:rPr>
          <w:rFonts w:ascii="Calibri-OneByteIdentityH" w:hAnsi="Calibri-OneByteIdentityH" w:cs="Calibri-OneByteIdentityH"/>
          <w:color w:val="000000"/>
          <w:sz w:val="24"/>
          <w:szCs w:val="24"/>
        </w:rPr>
        <w:t>“R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egolamento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 w:rsidR="00D34C21">
        <w:rPr>
          <w:rFonts w:ascii="Calibri-OneByteIdentityH" w:hAnsi="Calibri-OneByteIdentityH" w:cs="Calibri-OneByteIdentityH"/>
          <w:color w:val="000000"/>
          <w:sz w:val="24"/>
          <w:szCs w:val="24"/>
        </w:rPr>
        <w:t>C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omunale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delle Entrate “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, avuto riguardo alle modalità di rateazione richieste dal debitore nella</w:t>
      </w:r>
      <w:r w:rsidR="00B90C33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formulazione dell'istanza di cui al precedente articolo 3 del presente regolamento.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2. Il pagamento della prima o unica rata delle somme dovute ai fini della definizione agevolata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determina, limitatamente ai debiti oggetto di definizione agevolata, la revoca automatica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dell’eventuale dilazione ancora in essere precedentemente accordata.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3. La definizione agevolata prevista dal presente articolo può riguardare il singolo debito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incluso nell’ingiunzione di pagamento.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5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Definizione agevolata degli importi oggetto di rateizzazione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1. L’adesione alla definizione agevolata di cui al presente regolamento può essere esercitata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anche dai debitori che hanno già pagato parzialmente, anche a seguito di provvedimenti di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dilazione emessi dal Comune, le somme dovute relativamente alle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ingiunzioni di pagamento di cui all’articolo 2, comma 1, purché rispetto ai piani rateali in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essere risultino adempiuti i versamenti con scadenza dal 1° dicembre al 31 gennaio 2017.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In tal caso, ai fini della determinazione dell’ammontare delle somme da versare ai sensi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dell’articolo 2, non si tiene conto degli importi già versati a titolo di sanzioni ed interessi,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compresi quelli di dilazione, che restano definitivamente acquisite e non sono rimborsabili.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2. A seguito della presentazione dell’istanza di cui all’articolo 3, comma 1, sono sospesi, per i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debiti oggetto della domanda di definizione, fino alla scadenza della prima o unica rata delle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somme dovute, gli obblighi di pagamento derivanti da precedenti dilazioni in essere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relativamente alle rate di tali dilazioni in scadenza in data successiva al 31 gennaio 2017.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6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Mancato, insufficiente o tardivo pagamento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In caso di mancato, insufficiente o tardivo versamento dell'unica rata, ovvero di una delle rate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in cui è stato dilazionato il pagamento delle somme, la definizione non produce effetti 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riprendono a decorrere i termini di prescrizione e di decadenza per il recupero delle somme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oggetto dell'istanza. In tale caso, i versamenti effettuati sono acquisiti a titolo di acconto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dell'importo complessivamente dovuto.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7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Definizione agevolata degli importi inclusi in accordi o piani del consumatore</w:t>
      </w:r>
    </w:p>
    <w:p w:rsidR="00B90C33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Sono compresi nella definizione agevolata di cui all’articolo 2, comma 1, i debiti che rientrano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proofErr w:type="gramStart"/>
      <w:r>
        <w:rPr>
          <w:rFonts w:ascii="Calibri-OneByteIdentityH" w:hAnsi="Calibri-OneByteIdentityH" w:cs="Calibri-OneByteIdentityH"/>
          <w:color w:val="000000"/>
          <w:sz w:val="26"/>
          <w:szCs w:val="26"/>
        </w:rPr>
        <w:lastRenderedPageBreak/>
        <w:t>nei</w:t>
      </w:r>
      <w:proofErr w:type="gramEnd"/>
      <w:r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procedimenti instaurati a seguito di istanza presentata dai debitori ai sensi del capo II,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sezione prima, della legge 27 gennaio 2012, n. 3. In tal caso, gli importi dovuti possono essere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corrisposti nelle modalità e nei tempi eventualmente previsti nel decreto di omologazione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dell’accordo o del piano del consumatore.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Articolo 8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6"/>
          <w:szCs w:val="26"/>
        </w:rPr>
        <w:t>Procedure cautelative ed esecutive in corso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1. A seguito della presentazione dell’istanza di cui all’articolo 3, comma 1, sono sospesi i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termini di prescrizione e di decadenza per il recupero delle somme oggetto di tale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comunicazione.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2. Il Comune relativamente ai debiti definibili, non può avviare nuove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azioni esecutive ovvero iscrivere nuovi fermi amministrativi e ipoteche, fatti salvi i fermi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amministrativi e le ipoteche già iscritti alla data di presentazione dell’istanza di cui all’articolo</w:t>
      </w:r>
    </w:p>
    <w:p w:rsidR="00365A5F" w:rsidRDefault="00365A5F" w:rsidP="006514C8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3, comma 1.</w:t>
      </w:r>
    </w:p>
    <w:p w:rsidR="00C04226" w:rsidRPr="00B90C33" w:rsidRDefault="00365A5F" w:rsidP="00B90C33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  <w:sz w:val="26"/>
          <w:szCs w:val="26"/>
        </w:rPr>
      </w:pP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3. L'istanza di cui all'art. 3 comma 1 non può essere presentata per tutte le procedure che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hanno già raggiunto un provvedimento esecutivo del giudice che assegna le somme al</w:t>
      </w:r>
      <w:r w:rsidR="00B90C33">
        <w:rPr>
          <w:rFonts w:ascii="Calibri-OneByteIdentityH" w:hAnsi="Calibri-OneByteIdentityH" w:cs="Calibri-OneByteIdentityH"/>
          <w:color w:val="000000"/>
          <w:sz w:val="26"/>
          <w:szCs w:val="26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6"/>
          <w:szCs w:val="26"/>
        </w:rPr>
        <w:t>Comune.</w:t>
      </w:r>
    </w:p>
    <w:sectPr w:rsidR="00C04226" w:rsidRPr="00B90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004E"/>
    <w:multiLevelType w:val="hybridMultilevel"/>
    <w:tmpl w:val="C22C9F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205C96"/>
    <w:rsid w:val="00365A5F"/>
    <w:rsid w:val="0062385E"/>
    <w:rsid w:val="006514C8"/>
    <w:rsid w:val="007F6CEC"/>
    <w:rsid w:val="00801F09"/>
    <w:rsid w:val="00830156"/>
    <w:rsid w:val="008D2422"/>
    <w:rsid w:val="008F331B"/>
    <w:rsid w:val="00B90C33"/>
    <w:rsid w:val="00C04226"/>
    <w:rsid w:val="00C13871"/>
    <w:rsid w:val="00D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8781-C774-4729-943A-8BDDB80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C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../Documenti/Immagini/Stemm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F046-67DC-47C4-86B8-CEDC8E4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9</cp:revision>
  <cp:lastPrinted>2017-03-02T07:11:00Z</cp:lastPrinted>
  <dcterms:created xsi:type="dcterms:W3CDTF">2017-02-27T11:24:00Z</dcterms:created>
  <dcterms:modified xsi:type="dcterms:W3CDTF">2017-04-04T11:15:00Z</dcterms:modified>
</cp:coreProperties>
</file>